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25 vom 11. September 2025</w:t>
      </w:r>
    </w:p>
    <w:p>
      <w:r>
        <w:t>VS Kantonsgericht, 2025-09-11, DE</w:t>
      </w:r>
    </w:p>
    <w:p>
      <w:r>
        <w:rPr>
          <w:b/>
        </w:rPr>
        <w:t xml:space="preserve">Quelle: </w:t>
      </w:r>
      <w:r>
        <w:t>https://mcp.opencaselaw.ch/entscheid/vs_gerichte_S1 25 25</w:t>
      </w:r>
    </w:p>
    <w:p>
      <w:r>
        <w:t>FR: VS_GERICHTE S1 25 25 du 11 septembre 2025</w:t>
      </w:r>
    </w:p>
    <w:p>
      <w:r>
        <w:t>IT: VS_GERICHTE S1 25 25 del 11 settembre 2025</w:t>
      </w:r>
    </w:p>
    <w:p>
      <w:pPr>
        <w:pStyle w:val="Heading2"/>
      </w:pPr>
      <w:r>
        <w:t>Regeste</w:t>
      </w:r>
    </w:p>
    <w:p>
      <w:r>
        <w:t>S1 25 25 URTEIL VOM 11. SEPTEMBER 2025 Kantonsgericht Wallis Sozialversicherungsrechtliche Abteilung Besetzung: Michael Steiner, Präsident; Candido Prada und Dr. Thierry Schnyder, Kantonsrichter; Petra Stoffel, Gerichtsschreiberin in Sachen X _________, Beschwerdeführerin, vertreten durch Rechtsanwältin Graziella Walker Salzmann, Naters gegen KANTONALE IV-STELLE, Beschwerdegegnerin (rechtliches Gehör, Resterwerbsfähigkeit, Eingliederung) Beschwerde gegen die Verfügung vom 10. Januar 2025</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(vgl. BGE 127 V 176 E. 2). Die Beschwerdeführerin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Einzugehen ist vorab auf das Vorbringen der Beschwerdeführerin, wonach eine Ver- letzung des rechtlichen Gehörs vorliege, da die Beschwerdegegnerin die von ihr einge- brachten Beweise und Einwände nicht abgewartet habe. Dies müsse primär zur Rück- weisung der Beschwerdesache an die Beschwerdegegnerin führen.</w:t>
      </w:r>
    </w:p>
    <w:p>
      <w:r>
        <w:rPr>
          <w:b/>
        </w:rPr>
        <w:t>E. 2.2</w:t>
      </w:r>
    </w:p>
    <w:p>
      <w:r>
        <w:t>Die Beschwerdegegnerin stellte mit Vorbescheid vom 19. November 2024 die Ab- weisung des Leistungsbegehrens in Aussicht. Mit Verfügung vom 10. Januar 2025 ver- fügte sie dem Vorbescheid entsprechend. Nicht berücksichtigt hat sie dabei den Einwand der Versicherten, welcher vom Freitag, 10. Januar 2025 datiert und der IV-Stelle am Montag, 13. Januar 2025 zugestellt wurde.</w:t>
      </w:r>
    </w:p>
    <w:p>
      <w:r>
        <w:rPr>
          <w:b/>
        </w:rPr>
        <w:t>E. 2.3.1</w:t>
      </w:r>
    </w:p>
    <w:p>
      <w:r>
        <w:t>Gemäss Art. 57a Abs. 1 IVG teilt die IV-Stelle der versicherten Person den vorge- sehenen Endentscheid über ein Leistungsbegehren, den Entzug oder die Herabsetzung einer bisher gewährten Leistung sowie den vorgesehenen Entscheid über die vorsorgli- che Einstellung von Leistungen mittels Vorbescheid mit (Satz 1); die versicherte Person hat Anspruch auf rechtliches Gehör im Sinne von Art. 42 ATSG (Satz 2). Gemäss Art. 57a Abs. 3 IVG können die Parteien innerhalb einer Frist von 30 Tagen Einwände zum</w:t>
      </w:r>
    </w:p>
    <w:p>
      <w:r>
        <w:t>- 4 - Vorbescheid vorbringen. Ist die Abklärung der Verhältnisse abgeschlossen, so be- schliesst die IV-Stelle gemäss Art. 74 Abs. 1 und 2 IVV über das Leistungsbegehren; die Begründung des Beschlusses hat sich mit den für den Beschluss relevanten Einwänden zum Vorbescheid der Parteien auseinanderzusetzen. Sinn und Zweck des Vorbescheidverfahrens besteht darin, eine unkomplizierte Diskus- sion des Sachverhalts zu ermöglichen und dadurch die Akzeptanz des Entscheids bei den Versicherten zu verbessern (BGE 134 V 97 E. 2.7 mit Hinweisen; Bundesgerichts- urteil 9C_551/2022 vom 4. März 2024 E. 4.2). Das Vorbescheidverfahren dient zwar auch der Ausübung des rechtlichen Gehörs, geht aber über den verfassungsrechtlichen Mindestanspruch (Art. 29 Abs. 2 BV) hinaus, indem es Gelegenheit bietet, sich zur vor- gesehenen Rechtsanwendung sowie zum beabsichtigten Endentscheid zu äussern. Die Nichtbeachtung der gesetzlichen Pflicht zum Erlass des Vorbescheids im umschriebe- nen Rahmen wie überhaupt Verstösse gegen die bei der Durchführung des Vorbescheid- verfahrens zu beachtenden Regeln über die Gehörs- respektive Akteneinsichtsgewäh- rung sind, soweit es sich nicht um blosse Ordnungsvorschriften handelt, nach den Grundsätzen über die Verletzung des rechtlichen Gehörs zu sanktionieren (BGE 116 V 182).</w:t>
      </w:r>
    </w:p>
    <w:p>
      <w:r>
        <w:rPr>
          <w:b/>
        </w:rPr>
        <w:t>E. 2.3.2</w:t>
      </w:r>
    </w:p>
    <w:p>
      <w:r>
        <w:t>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(BGE 126 V 130 E. 2b mit Hinweisen). Nach der Rechtsprechung kann eine nicht besonders schwerwiegende Verletzung des rechtlichen Gehörs ausnahmsweise als geheilt gelten, wenn die betroffene Person die Möglichkeit erhält, sich vor einer Be- schwerdeinstanz zu äussern, die sowohl den Sachverhalt wie die Rechtslage frei über- prüfen kann. Unter dieser Voraussetzung ist darüber hinaus – im Sinne einer Heilung des Mangels – selbst bei einer schwerwiegenden Verletzung des Gehörs von einer Rückweisung der Sache an die Verwaltung abzusehen, wenn und soweit die Rückwei- 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132 V 387 E. 5.1; je mit Hinweisen). Nach der Rechtsprechung erweist sich die Verletzung der Anhörungspflicht schon dann als schwerwiegend, wenn ein nach Erlass des Vorbescheids ergangenes Begehren um</w:t>
      </w:r>
    </w:p>
    <w:p>
      <w:r>
        <w:t>- 5 - Aktenedition oder eine Stellungnahme zum Vorbescheid unberücksichtigt geblieben ist, indem auf die vorgebrachten Einwendungen nicht eingegangen wurde. Dies hat erst recht für den Fall zu gelten, dass überhaupt kein Vorbescheidverfahren durchgeführt und ohne Gewährung des rechtlichen Gehörs eine rentenablehnende Verfügung erlassen wird (Bundesgerichtsurteile 9C_551/2022 vom 4. März 2024 E. 4.3.2, 9C_555/2020 vom</w:t>
      </w:r>
    </w:p>
    <w:p>
      <w:r>
        <w:rPr>
          <w:b/>
        </w:rPr>
        <w:t>E. 2.3.3</w:t>
      </w:r>
    </w:p>
    <w:p>
      <w:r>
        <w:t>Im Nachfolgenden ist zuerst zu prüfen, ob die Eingabe der Versicherten vom 10. Januar 2025 innerhalb der gesetzlichen Frist von Art. 57a Abs. 1 IVG erfolgte. Die Versicherte machte geltend, der Vorbescheid vom 19. November 2024 (Akten der Beschwerdegegnerin S. 557 ff.) sei am 25. November 2024 eingegangen. Daran ist mit überwiegender Wahrscheinlichkeit festzuhalten, zumal der Vorbescheid nicht einge- schrieben versandt worden war und sich die Rechtsvertreterin am 25. November 2024 mit Bezug auf den Vorbescheid bei der Beschwerdegegnerin meldete (S. 563). Mithin ist auf dieses Datum für die Eröffnung des Vorbescheids und den Beginn der Frist zur Stel- lungnahme abzustellen, da die Verwaltung eine frühere Zustellung des Vorbescheids weder geltend macht noch belegt. Der unstrittig am 10. Januar 2025 per Einschreiben versandte Einwand wurde damit in Berücksichtigung des weihnächtlichen Fristenstill- stands (Art. 38 Abs. 4 lit. c ATSG) rechtzeitig am letzten Tag der gesetzlichen Frist von 30 Tagen (vgl. Art. 57a Abs. 3 IVG) aufgegeben. Indem die Beschwerdegegnerin bereits am 10. Januar 2025 – und somit vor Ablauf der Frist und ohne Berücksichtigung des</w:t>
      </w:r>
    </w:p>
    <w:p>
      <w:r>
        <w:t>- 6 - Einwands der Versicherten – die rentenablehnende Verfügung erliess, verletzte sie das rechtliche Gehör in schwerwiegender Weise.</w:t>
      </w:r>
    </w:p>
    <w:p>
      <w:r>
        <w:rPr>
          <w:b/>
        </w:rPr>
        <w:t>E. 2.3.4</w:t>
      </w:r>
    </w:p>
    <w:p>
      <w:r>
        <w:t>Die dagegen vorgebrachten Einwände der Beschwerdegegnerin sind unbehelf- lich. In einem ersten Punkt obliegt der Beweis der Tatsache sowie des Zeitpunkts der Zustellung von Vorbescheiden bzw. Verfügungen der Verwaltung, welche die entspre- chende Beweislast trägt. Wird das Datum einer Zustellung uneingeschriebener Sendun- gen bestritten, muss im Zweifel auf die Darstellung des Empfängers abgestellt werden, sofern der Beweis für die Zustellung nicht anderweitig erbracht werden kann (Bundes- gerichtsurteil 9C_551/2022 vom 4. März 2024 E. 5.3.1 mit Hinweis). In einem zweiten Punkt führt die Beschwerdegegnerin aus, dass aufgrund der Heilung der Verletzung des rechtlichen Gehörs von einer Rückweisung abzusehen sei, da dies zu einem formalistischen Leerlauf führen würde, was die Beschwerdeführerin wiederum bestreitet. Gemäss höchstrichterlicher Rechtsprechung hat aber eine Rückweisung der Angelegenheit in Konstellationen wie der vorliegenden selbst dann zu erfolgen, wenn die gerichtliche Instanz eine solche angesichts der sich präsentierenden materiellen Sachlage von vornherein als formalistischer Leerlauf erachtet (Bundesgerichtsurteile 9C_551/2022 vom 4. März 2024 E. 5.3.2, 9C_160/2009 vom 2. September 2009; Sozi- alversicherungsgericht des Kantons Zürich IV.2008.00857 vom 5. November 2008; SVR 2021 IV Nr. 43). Ein Ausnahmefall, welcher einen Verzicht auf die Durchführung eines Vorbescheidsverfahrens rechtfertigen würde, liegt in casu nicht vor. Auch kann nicht ge- sagt werden – wie dies die Beschwerdeführerin richtig darlegt –, die Rückweisung würde zu unnötigen Verzögerungen führen, welche mit dem der Anhörung gleichgestellten In- teresse der betroffenen Person an einer beförderlichen Beurteilung der Sache nicht ver- einbar wäre, beantragt die Versicherte primär selbst, eine Rückweisung an die Be- schwerdegegnerin. Nach dem Gesagten ist bereits in Verletzung des rechtlichen Gehörs die angefochtene Verfügung aufzuheben und die Sache an die Beschwerdegegnerin zurückzuweisen, da- mit diese das Vorbescheidverfahren bundesrechtkonform durchführt. Damit kann offen- bleiben, ob auch in Bezug auf die Begründungspflicht eine Gehörsverletzung zu bejahen wäre. Bei einer Verweigerung von beruflichen Massnahmen trotz eines Invaliditätsgra- des von 29% erscheint der Einwand der Beschwerdeführerin nach Klärung jedenfalls als nicht offensichtlich unbegründet.</w:t>
      </w:r>
    </w:p>
    <w:p>
      <w:r>
        <w:t>- 7 -</w:t>
      </w:r>
    </w:p>
    <w:p>
      <w:r>
        <w:rPr>
          <w:b/>
        </w:rPr>
        <w:t>E. 3</w:t>
      </w:r>
    </w:p>
    <w:p>
      <w:r>
        <w:t>März 2021 E. 4.4.2 und I 584/01 vom 24. Juli 2002 E. 2). Es kann lediglich in speziell gelagerten Ausnahmefällen auf das Vorbescheidverfahren verzichtet werden (BGE 134 V 97 E. 2.8.2 und 2.9.1 mit Hinweisen; Bundesgerichtsurteil 9C_356/2011 vom 3. Feb- ruar 2012 E. 3.4 [beide Urteile noch zur bis Ende 2011 in Kraft gestandenen Rechtslage]; vgl. nunmehr Art. 74ter IVV [Leistungszusprache bezüglich bestimmter Leistungen ohne Erlass eines Vorbescheids oder einer Verfügung]). Die Möglichkeit der Heilung einer entsprechenden Unterlassung im Rahmen des nachfolgenden Beschwerdeprozesses wird sodann nur sehr zurückhaltend angenommen (BGE 134 V 97 E. 2.9.2 mit weiteren Hinweisen; Bundesgerichturteile 9C_555/2020 vom 3. März 2021 E. 4.4.2, 9C_356/2011 vom 3. Februar 2012 E. 3.4 und I 584/01 vom 24. Juli 2002 E. 2). Aus dem formellen Charakter des Anhörungsrechts ist zu schliessen, dass es weder darauf ankommen kann, ob sich das entsprechende Anhörungsprozedere auf den Antrag der materiellen Streitentscheidung letztlich auswirkt, noch ob eine Partei in Anbetracht der konkreten Ausgestaltung des Verwaltungsverfahrens mit der Verfügung, wie sie schlussendlich er- lassen wird, gewissermassen zwingend rechnen musste (SVR 2021 IV Nr. 43 E. 5.3).</w:t>
      </w:r>
    </w:p>
    <w:p>
      <w:r>
        <w:rPr>
          <w:b/>
        </w:rPr>
        <w:t>E. 3.1</w:t>
      </w:r>
    </w:p>
    <w:p>
      <w:r>
        <w:t>Hinsichtlich der materiell vorgebrachten Rügen sei sodann der Vollständigkeit hal- ber darauf hingewiesen, dass – wie die Beschwerdeführerin zu Recht darlegt – die er- folglosen Eingliederungsbemühungen der diversen Stellen im psychiatrischen Teilgut- achten nicht kommentiert oder aufgegriffen wurden. Den einschlägigen Dokumentatio- nen ist zu entnehmen, dass es aus Sicht der Eingliederungsverantwortlichen die vielen gesundheitlichen Absenzen resp. die psychische Verfassung waren, die zum Scheitern der Eingliederungsbemühungen führten. Dennoch belässt es der RAD-Arzt unter Ver- weis auf ein nicht aktuelles Gutachten dabei, dass sich eine Einschränkung der Arbeits- fähigkeit nicht objektivieren lasse. Sowohl er als auch der psychiatrische Gutachter un- terliessen es aber, den Verlauf der Eingliederungsversuche ins Verhältnis zu ihren Schlussfolgerungen hinsichtlich der Diagnosen und Arbeitsfähigkeit zu setzen. Die Dis- krepanz zwischen den Ergebnissen der bisherigen Massnahmen zur beruflichen Einglie- derung und den die Arbeitsfähigkeit angeblich nicht beeinflussenden Diagnosen soziale Phobie, Spannungskopfschmerzen und Migräne wird nicht aufgelöst. Entgegen der im angefochtenen Entscheid zum Ausdruck kommenden Auffassung ist es in sämtlichen Fällen gesundheitlicher Beeinträchtigungen, somit auch bei psychischen Erkrankungen, keineswegs allein Sache der mit dem konkreten Einzelfall (gutachtlich) befassten Arzt- personen, selber abschliessend und für die rechtsanwendende Stelle (Verwaltung, Ge- richt) verbindlich zu entscheiden, ob das medizinisch festgestellte Leiden zu einer (an- dauernden oder vorübergehenden) Arbeitsunfähigkeit (bestimmter Höhe und Ausprä- gung) führt (BGE 140 V 193 E. 3.1). Bei der Folgenabschätzung der erhobenen gesund- heitlichen Beeinträchtigungen für die Arbeitsfähigkeit kommt der Arztperson keine ab- schliessende Beurteilungskompetenz zu (Bundesgerichtsurteil 8C_160/2017 vom 22. Juni 2017 E. 4.1). Vielmehr nimmt die Arztperson zur Arbeitsunfähigkeit Stellung, d.h. sie gibt eine Schätzung ab, welche sie aus ihrer Sicht so substanziell wie möglich begründet. Nötigenfalls sind, in Ergänzung der medizinischen Unterlagen, für die Ermitt- lung des erwerblich nutzbaren Leistungsvermögens die Fachpersonen der beruflichen Integration und Berufsberatung einzuschalten und deren Ergebnisse in der Beurteilung miteinzufliessen (Bundesgerichtsurteil 9C_539/2024 vom 12. Juni 2025 E. 4.4). Im vorliegenden Fall enthalten die Akten keine Anhaltspunkte dafür, dass sich die Be- schwerdeführerin bei den Arbeitsversuchen unkooperativ verhalten hätte oder dass das Scheitern der Arbeitsversuche überwiegend einer nicht-pathologischen Tendenz zur Ag- gravation und Dramatisierung zuzuschreiben wäre. Weder der RAD-Arzt noch der sach-</w:t>
      </w:r>
    </w:p>
    <w:p>
      <w:r>
        <w:t>- 8 - verständige Psychiater setzten sich jedenfalls damit auseinander. Auch in dieser Hin- sicht beruht die angefochtene Verfügung auf einer unzureichenden Grundlage (BGE 132 V 215 E. 3.1.1).</w:t>
      </w:r>
    </w:p>
    <w:p>
      <w:r>
        <w:rPr>
          <w:b/>
        </w:rPr>
        <w:t>E. 3.2</w:t>
      </w:r>
    </w:p>
    <w:p>
      <w:r>
        <w:t>Schliesslich gilt es in Bezug auf den bundesrechtlichen Grundsatz «Eingliederung vor resp. statt Rente» Folgendes zu berücksichtigen: Mit Blick auf diesen Grundsatz ist die berufliche Integration weiter zu verfolgen. Dabei ist u.a. dem noch jungen Alter der Beschwerdeführerin (Jahrgang xxxx) Rechnung zu tragen. Gemäss Art. 8 Abs. 1ter IVG wird bei Abbruch einer Eingliederungsmassnahme nach Massgabe der Absätze 1 und 1bis eine wiederholte Zusprache derselben oder einer anderen Eingliederungsmass- nahme geprüft. Art. 57 Abs. 1 lit. f IVG trägt den IV-Stellen auch auf, die Eingliederungs- massnahmen unter Einbezug der jeweils relevanten Akteure zu bestimmen, diese Mas- snahmen durchzuführen und zu überwachen sowie insbesondere bei jungen Versicher- ten die Wiederholung einer Eingliederungsmassnahme zu prüfen und das Eingliede- rungsziel bei Abbruch der Massnahme anzupassen. Art. 8 Abs. 1ter IVG wurde im Rah- men der jüngsten Revision mit Blick auf die «Zielgruppe 2» (Jugendliche sowie junge Erwachsene im Alter von 18 bis 25 Jahren) in das Gesetz eingeführt (Botschaft vom 15. Februar 2017 zur Änderung des Bundesgesetzes über die Invalidenversicherung [Weiterentwicklung der IV], BBl 2017 2584 f. Ziff. 1.2.2.8, 2647), worunter die Versicherte unstrittig fällt. Im Übrigen hat das Bundesgericht in seinem Urteil 9C_539/2024 vom 12. Juni 2024 E. 4.5.2 die normative Wirkung der Bestimmung als weiterreichend quali- fiziert und auch auf einen 34-jährigen Versicherten mit Blick auf die noch zu erwartende Dauer des Erwerbslebens angewandt. Ist die versicherte Person grundsätzlich einglie- derungsfähig, kann der Rentenanspruch somit unabhängig vom Eingliederungserfolg erst nach Beendigung der beruflichen Massnahmen entstehen (BGE 148 V 397 E. 6.2.4). Dem Gedanken der Schadenminderung folgend ist das gesetzliche Instrumentarium der beruflichen Eingliederung so einzusetzen, dass es dazu beiträgt, chronifizierende und sich ausweitende Gesundheitsschädigungen zu stabilisieren und somit einer überwie- gend wahrscheinlichen zusätzlichen Invalidisierung vorzubeugen.</w:t>
      </w:r>
    </w:p>
    <w:p>
      <w:r>
        <w:rPr>
          <w:b/>
        </w:rPr>
        <w:t>E. 4</w:t>
      </w:r>
    </w:p>
    <w:p>
      <w:r>
        <w:t>Nach dem Gesagten verletzt die angefochtene Verfügung Bundesrecht und ist auf- zuheben. Die Sache ist an die Beschwerdegegnerin zurückzuweisen, damit diese das Vorbescheidverfahren bundesrechtskonform durchführe und danach neu verfüge. Die Beschwerde ist demnach begründet.</w:t>
      </w:r>
    </w:p>
    <w:p>
      <w:r>
        <w:rPr>
          <w:b/>
        </w:rPr>
        <w:t>E. 5.1</w:t>
      </w:r>
    </w:p>
    <w:p>
      <w:r>
        <w:t>Das Beschwerdeverfahren bei Streitigkeiten um die Bewilligung oder die Verweige- rung von IV-Leistungen vor dem Kantonsgericht ist kostenpflichtig (Art. 69 Abs. 1bis IVG).</w:t>
      </w:r>
    </w:p>
    <w:p>
      <w:r>
        <w:t>- 9 - Aufgrund des Verfahrensaufwandes werden die Kosten zu Lasten der IV-Stelle auf Fr. 500.00 festgesetzt.</w:t>
      </w:r>
    </w:p>
    <w:p>
      <w:r>
        <w:rPr>
          <w:b/>
        </w:rPr>
        <w:t>E. 5.2</w:t>
      </w:r>
    </w:p>
    <w:p>
      <w:r>
        <w:t>Bei diesem Ausgang des Verfahrens hat die Beschwerdeführerin einen Anspruch auf Parteientschädigung, die das Gericht unter Würdigung der Bedeutung und Schwie- rigkeit der Streitsache, des Umstandes, des Umfangs der Arbeitsleistung, sowie der durch den Rechtstreit entstandenen Auslagen auf Fr. 1'800.00 (inkl. Auslagen und Mehr- wertsteuer) festsetzt (Art. 61 lit. g ATSG; Art. 4 GTar).</w:t>
      </w:r>
    </w:p>
    <w:p>
      <w:r>
        <w:t>Das Kantonsgericht erkennt:</w:t>
      </w:r>
    </w:p>
    <w:p>
      <w:r>
        <w:t>1. Die Beschwerde wird gutgeheissen und die Verfügung vom 10. Januar 2025 wird aufgehoben. Die Sache wird zur Durchführung des Vorbescheidverfahrens und an- schliessender neuer Verfügung an die Beschwerdegegnerin zurückgewiesen. 2. Die Verfahrenskosten in der Höhe von Fr. 500.00 gehen zu Lasten der Beschwer- degegnerin. 3. Die Beschwerdegegnerin bezahlt der Beschwerdeführerin eine Parteientschädi- gung von Fr. 1'800.00 (inkl. Auslagen und Mehrwertsteuer).</w:t>
      </w:r>
    </w:p>
    <w:p>
      <w:r>
        <w:t>Sitten, 11.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